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23428" w14:textId="43F6D112" w:rsidR="003842DD" w:rsidRPr="006E418B" w:rsidRDefault="003842DD" w:rsidP="003842DD">
      <w:pPr>
        <w:jc w:val="center"/>
        <w:rPr>
          <w:sz w:val="28"/>
          <w:szCs w:val="28"/>
        </w:rPr>
      </w:pPr>
      <w:proofErr w:type="spellStart"/>
      <w:r w:rsidRPr="006E418B">
        <w:rPr>
          <w:sz w:val="28"/>
          <w:szCs w:val="28"/>
        </w:rPr>
        <w:t>Exceptives</w:t>
      </w:r>
      <w:proofErr w:type="spellEnd"/>
      <w:r w:rsidRPr="006E418B">
        <w:rPr>
          <w:sz w:val="28"/>
          <w:szCs w:val="28"/>
        </w:rPr>
        <w:t xml:space="preserve"> Questionnaire</w:t>
      </w:r>
    </w:p>
    <w:p w14:paraId="6EBF8703" w14:textId="31DE7441" w:rsidR="003842DD" w:rsidRDefault="00622FA4" w:rsidP="003842DD">
      <w:pPr>
        <w:jc w:val="center"/>
      </w:pPr>
      <w:r>
        <w:t>August 19, 2022</w:t>
      </w:r>
      <w:r w:rsidR="00EC0977">
        <w:t>, v2</w:t>
      </w:r>
    </w:p>
    <w:p w14:paraId="2ADB5F8C" w14:textId="7C83CB2B" w:rsidR="003842DD" w:rsidRDefault="003842DD" w:rsidP="008A7EC8"/>
    <w:p w14:paraId="6DB13354" w14:textId="1C6930F3" w:rsidR="00DF6F30" w:rsidRPr="00CC498E" w:rsidRDefault="006E418B" w:rsidP="00DF6F30">
      <w:pPr>
        <w:pStyle w:val="Heading1"/>
        <w:rPr>
          <w:rFonts w:eastAsia="Times New Roman" w:cs="Times New Roman"/>
        </w:rPr>
      </w:pPr>
      <w:r>
        <w:rPr>
          <w:rFonts w:eastAsia="Times New Roman" w:cs="Times New Roman"/>
        </w:rPr>
        <w:t>Language morphosyntax</w:t>
      </w:r>
    </w:p>
    <w:p w14:paraId="3DB40248" w14:textId="4A868838" w:rsidR="00DF6F30" w:rsidRPr="006E418B" w:rsidRDefault="006E418B" w:rsidP="006E418B">
      <w:pPr>
        <w:pStyle w:val="Heading2"/>
        <w:rPr>
          <w:rFonts w:eastAsia="Times New Roman"/>
        </w:rPr>
      </w:pPr>
      <w:r>
        <w:rPr>
          <w:rFonts w:eastAsia="Times New Roman"/>
        </w:rPr>
        <w:t xml:space="preserve">Language </w:t>
      </w:r>
      <w:r w:rsidRPr="006E418B">
        <w:rPr>
          <w:rFonts w:eastAsia="Times New Roman"/>
        </w:rPr>
        <w:t>name</w:t>
      </w:r>
    </w:p>
    <w:p w14:paraId="213CAF7A" w14:textId="3FC9BF7A" w:rsidR="006E418B" w:rsidRDefault="006E418B" w:rsidP="006E418B">
      <w:r w:rsidRPr="006E418B">
        <w:rPr>
          <w:rFonts w:eastAsia="Times New Roman"/>
        </w:rPr>
        <w:t>ISO code,</w:t>
      </w:r>
      <w:r w:rsidR="009C5F7A">
        <w:rPr>
          <w:rFonts w:eastAsia="Times New Roman"/>
        </w:rPr>
        <w:t xml:space="preserve"> </w:t>
      </w:r>
      <w:r w:rsidR="005D1E11">
        <w:rPr>
          <w:rFonts w:eastAsia="Times New Roman"/>
        </w:rPr>
        <w:t>dialect information (if relevant)</w:t>
      </w:r>
      <w:r w:rsidR="009C5F7A">
        <w:rPr>
          <w:rFonts w:eastAsia="Times New Roman"/>
        </w:rPr>
        <w:t xml:space="preserve">, </w:t>
      </w:r>
      <w:r w:rsidR="009C5F7A" w:rsidRPr="006E418B">
        <w:rPr>
          <w:rFonts w:eastAsia="Times New Roman"/>
        </w:rPr>
        <w:t xml:space="preserve">genetic affiliation, </w:t>
      </w:r>
      <w:r w:rsidR="009C5F7A">
        <w:rPr>
          <w:rFonts w:eastAsia="Times New Roman"/>
        </w:rPr>
        <w:t xml:space="preserve">number of speakers, </w:t>
      </w:r>
      <w:r w:rsidR="009C5F7A" w:rsidRPr="006E418B">
        <w:rPr>
          <w:rFonts w:eastAsia="Times New Roman"/>
        </w:rPr>
        <w:t>endangerment level</w:t>
      </w:r>
    </w:p>
    <w:p w14:paraId="46582E6F" w14:textId="77777777" w:rsidR="006E418B" w:rsidRDefault="006E418B" w:rsidP="006E418B">
      <w:pPr>
        <w:pStyle w:val="Heading2"/>
        <w:rPr>
          <w:rFonts w:eastAsia="Times New Roman"/>
        </w:rPr>
      </w:pPr>
      <w:r>
        <w:rPr>
          <w:rFonts w:eastAsia="Times New Roman"/>
        </w:rPr>
        <w:t>Morphological type</w:t>
      </w:r>
    </w:p>
    <w:p w14:paraId="3FFA2B58" w14:textId="4B7E5C02" w:rsidR="006E418B" w:rsidRDefault="0022204A" w:rsidP="006E418B">
      <w:r>
        <w:t>In what</w:t>
      </w:r>
      <w:r w:rsidR="00E3330C">
        <w:t xml:space="preserve"> areas of the grammar does the language show bound morphology</w:t>
      </w:r>
      <w:r>
        <w:t>?</w:t>
      </w:r>
      <w:r w:rsidR="00E3330C">
        <w:t xml:space="preserve"> </w:t>
      </w:r>
      <w:r w:rsidR="00653EC9">
        <w:t xml:space="preserve">What is/are the </w:t>
      </w:r>
      <w:r w:rsidR="006E418B">
        <w:t xml:space="preserve">predominant </w:t>
      </w:r>
      <w:r w:rsidR="00653EC9">
        <w:t>type(s) of morphology</w:t>
      </w:r>
      <w:r w:rsidR="006E418B">
        <w:t xml:space="preserve"> (isolating, agglutinating, fusional, polysynthetic)</w:t>
      </w:r>
      <w:r w:rsidR="00653EC9">
        <w:t xml:space="preserve">? Give illustrative examples, particularly in </w:t>
      </w:r>
      <w:r w:rsidR="00D11960">
        <w:t>morphological domains</w:t>
      </w:r>
      <w:r w:rsidR="00653EC9">
        <w:t xml:space="preserve"> </w:t>
      </w:r>
      <w:r w:rsidR="00D11960">
        <w:t>that</w:t>
      </w:r>
      <w:r w:rsidR="00653EC9">
        <w:t xml:space="preserve"> will show up in </w:t>
      </w:r>
      <w:proofErr w:type="spellStart"/>
      <w:r w:rsidR="00653EC9">
        <w:t>exceptives</w:t>
      </w:r>
      <w:proofErr w:type="spellEnd"/>
      <w:r w:rsidR="00653EC9">
        <w:t>.</w:t>
      </w:r>
    </w:p>
    <w:p w14:paraId="549D4DCD" w14:textId="3B6359B5" w:rsidR="006E418B" w:rsidRDefault="006E418B" w:rsidP="006E418B">
      <w:pPr>
        <w:pStyle w:val="Heading2"/>
        <w:rPr>
          <w:rFonts w:eastAsia="Times New Roman"/>
        </w:rPr>
      </w:pPr>
      <w:r>
        <w:rPr>
          <w:rFonts w:eastAsia="Times New Roman"/>
        </w:rPr>
        <w:t>Basic word order(s)</w:t>
      </w:r>
    </w:p>
    <w:p w14:paraId="746EF5C4" w14:textId="42D10A83" w:rsidR="00896944" w:rsidRPr="006E418B" w:rsidRDefault="00D11960" w:rsidP="006E418B">
      <w:r>
        <w:t>What is/are the</w:t>
      </w:r>
      <w:r w:rsidR="00B56D0B">
        <w:t xml:space="preserve"> basic, unmarked word order(s)</w:t>
      </w:r>
      <w:r>
        <w:t xml:space="preserve">? Give </w:t>
      </w:r>
      <w:r w:rsidR="00C27EBE">
        <w:t>simple</w:t>
      </w:r>
      <w:r>
        <w:t xml:space="preserve"> examples. Provide </w:t>
      </w:r>
      <w:r w:rsidR="00896944">
        <w:t>discussion of relevant controversies</w:t>
      </w:r>
      <w:r w:rsidR="00B56D0B">
        <w:t xml:space="preserve"> or debates</w:t>
      </w:r>
      <w:r w:rsidR="00896944">
        <w:t>, with references, if appropriate</w:t>
      </w:r>
      <w:r w:rsidR="00C27EBE">
        <w:t>.</w:t>
      </w:r>
    </w:p>
    <w:p w14:paraId="60A10410" w14:textId="25C9E31C" w:rsidR="0015044D" w:rsidRDefault="0015044D" w:rsidP="0015044D">
      <w:pPr>
        <w:pStyle w:val="Heading2"/>
        <w:rPr>
          <w:rFonts w:eastAsia="Times New Roman"/>
        </w:rPr>
      </w:pPr>
      <w:r>
        <w:rPr>
          <w:rFonts w:eastAsia="Times New Roman"/>
        </w:rPr>
        <w:t>Case marking</w:t>
      </w:r>
    </w:p>
    <w:p w14:paraId="4D1A699C" w14:textId="79FC7425" w:rsidR="00FE64E0" w:rsidRPr="00FE64E0" w:rsidRDefault="00C27EBE" w:rsidP="00FE64E0">
      <w:r>
        <w:t>Give a</w:t>
      </w:r>
      <w:r w:rsidR="00E95288">
        <w:t xml:space="preserve"> </w:t>
      </w:r>
      <w:r w:rsidR="00B56D0B">
        <w:t>description</w:t>
      </w:r>
      <w:r w:rsidR="00FE64E0">
        <w:t xml:space="preserve"> of </w:t>
      </w:r>
      <w:r>
        <w:t xml:space="preserve">the </w:t>
      </w:r>
      <w:r w:rsidR="00FE64E0">
        <w:t>case system, if any</w:t>
      </w:r>
      <w:r>
        <w:t>.</w:t>
      </w:r>
    </w:p>
    <w:p w14:paraId="1C25B933" w14:textId="2F375F72" w:rsidR="0015044D" w:rsidRDefault="0015044D" w:rsidP="0015044D">
      <w:pPr>
        <w:pStyle w:val="Heading2"/>
        <w:rPr>
          <w:rFonts w:eastAsia="Times New Roman"/>
        </w:rPr>
      </w:pPr>
      <w:r>
        <w:rPr>
          <w:rFonts w:eastAsia="Times New Roman"/>
        </w:rPr>
        <w:t>Focus constructions</w:t>
      </w:r>
    </w:p>
    <w:p w14:paraId="06615B9B" w14:textId="4F150529" w:rsidR="0015044D" w:rsidRPr="0015044D" w:rsidRDefault="00C27EBE" w:rsidP="0015044D">
      <w:r>
        <w:t xml:space="preserve">Describe </w:t>
      </w:r>
      <w:r w:rsidR="0015044D">
        <w:t xml:space="preserve">syntactic constructions that </w:t>
      </w:r>
      <w:r>
        <w:t>the</w:t>
      </w:r>
      <w:r w:rsidR="0015044D">
        <w:t xml:space="preserve"> language has to convey focus</w:t>
      </w:r>
      <w:r>
        <w:t xml:space="preserve"> (new information)</w:t>
      </w:r>
      <w:r w:rsidR="00C31506">
        <w:t>, such as</w:t>
      </w:r>
      <w:r w:rsidR="0015044D">
        <w:t xml:space="preserve"> </w:t>
      </w:r>
      <w:r w:rsidR="006515C6">
        <w:t>displacement</w:t>
      </w:r>
      <w:r w:rsidR="00C31506">
        <w:t xml:space="preserve"> or </w:t>
      </w:r>
      <w:proofErr w:type="spellStart"/>
      <w:r w:rsidR="0015044D">
        <w:t>clefting</w:t>
      </w:r>
      <w:proofErr w:type="spellEnd"/>
      <w:r>
        <w:t xml:space="preserve">. Give </w:t>
      </w:r>
      <w:r w:rsidR="0015044D">
        <w:t>illustrative examples and descriptive generalizations</w:t>
      </w:r>
      <w:r>
        <w:t xml:space="preserve"> if possible</w:t>
      </w:r>
      <w:r w:rsidR="0015044D">
        <w:t xml:space="preserve">. </w:t>
      </w:r>
      <w:r>
        <w:t>Provide</w:t>
      </w:r>
      <w:r w:rsidR="00E95288">
        <w:t xml:space="preserve"> </w:t>
      </w:r>
      <w:r w:rsidR="00FE64E0">
        <w:t>references</w:t>
      </w:r>
      <w:r w:rsidR="0015044D">
        <w:t xml:space="preserve"> as appropriate to avoid long </w:t>
      </w:r>
      <w:r w:rsidR="00E95288">
        <w:t>presentations</w:t>
      </w:r>
      <w:r>
        <w:t>.</w:t>
      </w:r>
    </w:p>
    <w:p w14:paraId="79FCF496" w14:textId="33DD8633" w:rsidR="0015044D" w:rsidRPr="00CC498E" w:rsidRDefault="0015044D" w:rsidP="0015044D">
      <w:pPr>
        <w:pStyle w:val="Heading1"/>
        <w:rPr>
          <w:rFonts w:eastAsia="Times New Roman" w:cs="Times New Roman"/>
        </w:rPr>
      </w:pPr>
      <w:r w:rsidRPr="008A7EC8">
        <w:t>Basic exceptive constructions</w:t>
      </w:r>
    </w:p>
    <w:p w14:paraId="1B7A53FD" w14:textId="4A5D71FC" w:rsidR="0015044D" w:rsidRDefault="00FE64E0" w:rsidP="0015044D">
      <w:pPr>
        <w:pStyle w:val="Heading2"/>
        <w:rPr>
          <w:rFonts w:eastAsia="Times New Roman"/>
        </w:rPr>
      </w:pPr>
      <w:r>
        <w:rPr>
          <w:rFonts w:eastAsia="Times New Roman"/>
        </w:rPr>
        <w:t>Exceptive markers</w:t>
      </w:r>
    </w:p>
    <w:p w14:paraId="7DEAB77F" w14:textId="4E9B5952" w:rsidR="00FE64E0" w:rsidRPr="00FE64E0" w:rsidRDefault="00C27EBE" w:rsidP="00FE64E0">
      <w:r>
        <w:t>What are the e</w:t>
      </w:r>
      <w:r w:rsidR="00FE64E0">
        <w:t xml:space="preserve">xceptive markers </w:t>
      </w:r>
      <w:r w:rsidR="00E95288">
        <w:t>in the language</w:t>
      </w:r>
      <w:r>
        <w:t>?</w:t>
      </w:r>
      <w:r w:rsidR="00216803">
        <w:t xml:space="preserve"> </w:t>
      </w:r>
      <w:r w:rsidR="007478EE">
        <w:t xml:space="preserve">If appropriate, discuss any synchronic or diachronic connection to other connectives in the language. </w:t>
      </w:r>
      <w:r w:rsidR="00216803">
        <w:t>Discuss whether the exceptive markers show an exceptive/additive ambiguity.</w:t>
      </w:r>
    </w:p>
    <w:p w14:paraId="3EF4E0C9" w14:textId="2B29178A" w:rsidR="0015044D" w:rsidRDefault="00FE64E0" w:rsidP="00FE64E0">
      <w:pPr>
        <w:pStyle w:val="Heading2"/>
        <w:rPr>
          <w:rFonts w:eastAsia="Times New Roman"/>
        </w:rPr>
      </w:pPr>
      <w:r>
        <w:rPr>
          <w:rFonts w:eastAsia="Times New Roman"/>
        </w:rPr>
        <w:t>Lexical category investigations</w:t>
      </w:r>
    </w:p>
    <w:p w14:paraId="378EB0AD" w14:textId="1EF8532F" w:rsidR="00FE64E0" w:rsidRPr="00FE64E0" w:rsidRDefault="00C27EBE" w:rsidP="00FE64E0">
      <w:r>
        <w:t xml:space="preserve">Provide </w:t>
      </w:r>
      <w:r w:rsidR="00E95288">
        <w:t>e</w:t>
      </w:r>
      <w:r w:rsidR="00FE64E0">
        <w:t>vidence for the lexical category of selected exceptive markers</w:t>
      </w:r>
      <w:r w:rsidR="00035C9C">
        <w:t xml:space="preserve">, </w:t>
      </w:r>
      <w:r w:rsidR="00733E91">
        <w:t xml:space="preserve">for example, </w:t>
      </w:r>
      <w:r w:rsidR="00E95288">
        <w:t xml:space="preserve">as </w:t>
      </w:r>
      <w:r w:rsidR="00FE64E0">
        <w:t>coordinating conjunction</w:t>
      </w:r>
      <w:r w:rsidR="00035C9C">
        <w:t>s</w:t>
      </w:r>
      <w:r w:rsidR="00FE64E0">
        <w:t>, adverb</w:t>
      </w:r>
      <w:r w:rsidR="00035C9C">
        <w:t>s</w:t>
      </w:r>
      <w:r w:rsidR="00FE64E0">
        <w:t>, preposition</w:t>
      </w:r>
      <w:r w:rsidR="00035C9C">
        <w:t>s</w:t>
      </w:r>
      <w:r w:rsidR="00FE64E0">
        <w:t>, complementizer</w:t>
      </w:r>
      <w:r w:rsidR="00035C9C">
        <w:t>s</w:t>
      </w:r>
      <w:r w:rsidR="00FE64E0">
        <w:t xml:space="preserve">, </w:t>
      </w:r>
      <w:r w:rsidR="00035C9C">
        <w:t xml:space="preserve">or </w:t>
      </w:r>
      <w:r w:rsidR="00FE64E0">
        <w:t>other</w:t>
      </w:r>
      <w:r w:rsidR="00035C9C">
        <w:t>.</w:t>
      </w:r>
    </w:p>
    <w:p w14:paraId="1585D588" w14:textId="0A8B08DD" w:rsidR="00FE64E0" w:rsidRPr="00CC498E" w:rsidRDefault="00FE64E0" w:rsidP="00FE64E0">
      <w:pPr>
        <w:pStyle w:val="Heading1"/>
        <w:rPr>
          <w:rFonts w:eastAsia="Times New Roman" w:cs="Times New Roman"/>
        </w:rPr>
      </w:pPr>
      <w:r>
        <w:lastRenderedPageBreak/>
        <w:t xml:space="preserve">Word order in </w:t>
      </w:r>
      <w:proofErr w:type="spellStart"/>
      <w:r>
        <w:t>exceptives</w:t>
      </w:r>
      <w:proofErr w:type="spellEnd"/>
    </w:p>
    <w:p w14:paraId="53604A9F" w14:textId="69931F4B" w:rsidR="0015044D" w:rsidRDefault="00FE64E0" w:rsidP="0015044D">
      <w:pPr>
        <w:pStyle w:val="Heading2"/>
        <w:rPr>
          <w:rFonts w:eastAsia="Times New Roman"/>
        </w:rPr>
      </w:pPr>
      <w:r>
        <w:rPr>
          <w:rFonts w:eastAsia="Times New Roman"/>
        </w:rPr>
        <w:t xml:space="preserve">Position </w:t>
      </w:r>
      <w:r w:rsidR="00B23D6E">
        <w:rPr>
          <w:rFonts w:eastAsia="Times New Roman"/>
        </w:rPr>
        <w:t>of</w:t>
      </w:r>
      <w:r>
        <w:rPr>
          <w:rFonts w:eastAsia="Times New Roman"/>
        </w:rPr>
        <w:t xml:space="preserve"> exceptive phrases</w:t>
      </w:r>
    </w:p>
    <w:p w14:paraId="0D3C7D52" w14:textId="162D096E" w:rsidR="00B23D6E" w:rsidRPr="009F4672" w:rsidRDefault="00B26B6B" w:rsidP="009F4672">
      <w:r>
        <w:t xml:space="preserve">What are the </w:t>
      </w:r>
      <w:r w:rsidR="00B23D6E">
        <w:t>positional options of exceptive phrases</w:t>
      </w:r>
      <w:r w:rsidR="00795474">
        <w:t>?</w:t>
      </w:r>
      <w:r w:rsidR="00D00DA7">
        <w:t xml:space="preserve"> M</w:t>
      </w:r>
      <w:r w:rsidR="00B23D6E">
        <w:t>inimally</w:t>
      </w:r>
      <w:r w:rsidR="00D00DA7">
        <w:t xml:space="preserve"> </w:t>
      </w:r>
      <w:r w:rsidR="00795474">
        <w:t>consider</w:t>
      </w:r>
      <w:r w:rsidR="00B23D6E">
        <w:t xml:space="preserve"> adjacent to associate, clause-initial, clause-final</w:t>
      </w:r>
      <w:r w:rsidR="00D00DA7">
        <w:t>. Consider examples with the associate in different positions, at least subject and object. It may be necessary to address parenthetical placement and intonation.</w:t>
      </w:r>
      <w:r w:rsidR="00F67412">
        <w:t xml:space="preserve"> </w:t>
      </w:r>
      <w:r w:rsidR="00795474">
        <w:t xml:space="preserve">Are there morphosyntactic differences when exceptive phrases are in different positions that might suggest a distinction between free and connected </w:t>
      </w:r>
      <w:proofErr w:type="spellStart"/>
      <w:r w:rsidR="00795474">
        <w:t>exceptives</w:t>
      </w:r>
      <w:proofErr w:type="spellEnd"/>
      <w:r w:rsidR="00795474">
        <w:t xml:space="preserve">? </w:t>
      </w:r>
    </w:p>
    <w:p w14:paraId="301B9A2B" w14:textId="7C007B65" w:rsidR="0015044D" w:rsidRDefault="00795474" w:rsidP="0015044D">
      <w:pPr>
        <w:pStyle w:val="Heading2"/>
        <w:rPr>
          <w:rFonts w:eastAsia="Times New Roman"/>
        </w:rPr>
      </w:pPr>
      <w:r>
        <w:rPr>
          <w:rFonts w:eastAsia="Times New Roman"/>
        </w:rPr>
        <w:t>C</w:t>
      </w:r>
      <w:r w:rsidR="00FE64E0">
        <w:rPr>
          <w:rFonts w:eastAsia="Times New Roman"/>
        </w:rPr>
        <w:t xml:space="preserve">onnected </w:t>
      </w:r>
      <w:proofErr w:type="spellStart"/>
      <w:r w:rsidR="00FE64E0">
        <w:rPr>
          <w:rFonts w:eastAsia="Times New Roman"/>
        </w:rPr>
        <w:t>exceptives</w:t>
      </w:r>
      <w:proofErr w:type="spellEnd"/>
    </w:p>
    <w:p w14:paraId="11D065C7" w14:textId="58CF76AF" w:rsidR="004A3C09" w:rsidRDefault="00F960F5" w:rsidP="004A3C09">
      <w:r>
        <w:t xml:space="preserve">For examples that are tentatively identified as connected </w:t>
      </w:r>
      <w:proofErr w:type="spellStart"/>
      <w:r>
        <w:t>exceptives</w:t>
      </w:r>
      <w:proofErr w:type="spellEnd"/>
      <w:r>
        <w:t>, where in the nominal does the exceptive phrase appear?</w:t>
      </w:r>
    </w:p>
    <w:p w14:paraId="7F08D7E2" w14:textId="424BD66D" w:rsidR="00E72B7D" w:rsidRDefault="00E72B7D" w:rsidP="00E72B7D">
      <w:pPr>
        <w:pStyle w:val="Heading2"/>
        <w:rPr>
          <w:rFonts w:eastAsia="Times New Roman"/>
        </w:rPr>
      </w:pPr>
      <w:r>
        <w:rPr>
          <w:rFonts w:eastAsia="Times New Roman"/>
        </w:rPr>
        <w:t xml:space="preserve">Free </w:t>
      </w:r>
      <w:proofErr w:type="spellStart"/>
      <w:r>
        <w:rPr>
          <w:rFonts w:eastAsia="Times New Roman"/>
        </w:rPr>
        <w:t>exceptives</w:t>
      </w:r>
      <w:proofErr w:type="spellEnd"/>
    </w:p>
    <w:p w14:paraId="114EEBD2" w14:textId="4D20E261" w:rsidR="00E72B7D" w:rsidRDefault="00E72B7D" w:rsidP="00E72B7D">
      <w:r>
        <w:t xml:space="preserve">For examples that are tentatively identified as free </w:t>
      </w:r>
      <w:proofErr w:type="spellStart"/>
      <w:r>
        <w:t>exceptives</w:t>
      </w:r>
      <w:proofErr w:type="spellEnd"/>
      <w:r>
        <w:t>, where can the exceptive phrase appear?</w:t>
      </w:r>
    </w:p>
    <w:p w14:paraId="46D64AB4" w14:textId="5EF1F8A6" w:rsidR="00FE64E0" w:rsidRDefault="00FE64E0" w:rsidP="00FE64E0">
      <w:pPr>
        <w:pStyle w:val="Heading1"/>
      </w:pPr>
      <w:r>
        <w:t xml:space="preserve">Constituency evidence for connected </w:t>
      </w:r>
      <w:proofErr w:type="spellStart"/>
      <w:r>
        <w:t>exceptives</w:t>
      </w:r>
      <w:proofErr w:type="spellEnd"/>
    </w:p>
    <w:p w14:paraId="03DCD97E" w14:textId="487992F0" w:rsidR="00C065B7" w:rsidRPr="00C065B7" w:rsidRDefault="00C065B7" w:rsidP="00C065B7">
      <w:r>
        <w:t xml:space="preserve">Provide evidence for the existence of connected </w:t>
      </w:r>
      <w:proofErr w:type="spellStart"/>
      <w:r>
        <w:t>exceptives</w:t>
      </w:r>
      <w:proofErr w:type="spellEnd"/>
      <w:r>
        <w:t xml:space="preserve">, where the associate and the exceptive phrase form a constituent. Any number of constituency tests may be used. The </w:t>
      </w:r>
      <w:r w:rsidR="00E72B7D">
        <w:t>two</w:t>
      </w:r>
      <w:r>
        <w:t xml:space="preserve"> below are merely suggestions as they have </w:t>
      </w:r>
      <w:r w:rsidR="001001CC">
        <w:t xml:space="preserve">proven </w:t>
      </w:r>
      <w:r>
        <w:t>cross-linguistic applicability</w:t>
      </w:r>
      <w:r w:rsidR="00846B94">
        <w:t>.</w:t>
      </w:r>
    </w:p>
    <w:p w14:paraId="3DABA9C4" w14:textId="77777777" w:rsidR="00FE64E0" w:rsidRDefault="00FE64E0" w:rsidP="00FE64E0">
      <w:pPr>
        <w:pStyle w:val="Heading2"/>
        <w:rPr>
          <w:rFonts w:eastAsia="Times New Roman"/>
        </w:rPr>
      </w:pPr>
      <w:r>
        <w:rPr>
          <w:rFonts w:eastAsia="Times New Roman"/>
        </w:rPr>
        <w:t>Coordination</w:t>
      </w:r>
    </w:p>
    <w:p w14:paraId="7D9C8B3B" w14:textId="62D280AC" w:rsidR="00FE64E0" w:rsidRDefault="00FE64E0" w:rsidP="00FE64E0">
      <w:pPr>
        <w:pStyle w:val="Heading2"/>
        <w:rPr>
          <w:rFonts w:eastAsia="Times New Roman"/>
        </w:rPr>
      </w:pPr>
      <w:r>
        <w:rPr>
          <w:rFonts w:eastAsia="Times New Roman"/>
        </w:rPr>
        <w:t>Displacement</w:t>
      </w:r>
    </w:p>
    <w:p w14:paraId="409F4005" w14:textId="7AD46429" w:rsidR="00FE64E0" w:rsidRDefault="00FE64E0" w:rsidP="00FE64E0">
      <w:pPr>
        <w:pStyle w:val="Heading2"/>
        <w:rPr>
          <w:rFonts w:eastAsia="Times New Roman"/>
        </w:rPr>
      </w:pPr>
      <w:r>
        <w:rPr>
          <w:rFonts w:eastAsia="Times New Roman"/>
        </w:rPr>
        <w:t>Other</w:t>
      </w:r>
    </w:p>
    <w:p w14:paraId="3D37D321" w14:textId="40C98AF5" w:rsidR="0071415E" w:rsidRDefault="0071415E" w:rsidP="0071415E">
      <w:pPr>
        <w:pStyle w:val="Heading1"/>
      </w:pPr>
      <w:r>
        <w:t>Characteristics of the associate</w:t>
      </w:r>
    </w:p>
    <w:p w14:paraId="0EE4C14F" w14:textId="4A3D0774" w:rsidR="007D6353" w:rsidRDefault="007D6353" w:rsidP="007D6353">
      <w:r>
        <w:t xml:space="preserve">It is widely claimed that there are </w:t>
      </w:r>
      <w:proofErr w:type="spellStart"/>
      <w:r>
        <w:t>syntactico</w:t>
      </w:r>
      <w:proofErr w:type="spellEnd"/>
      <w:r>
        <w:t>-semantic restrictions on the associate, which</w:t>
      </w:r>
      <w:r w:rsidR="00E35139">
        <w:t xml:space="preserve"> may</w:t>
      </w:r>
      <w:r>
        <w:t xml:space="preserve"> vary according to whether the exceptive is a free or connected exceptive. The most well-known restriction is the Quantifier Constraint:</w:t>
      </w:r>
    </w:p>
    <w:p w14:paraId="47DD9BF9" w14:textId="133FFBAD" w:rsidR="007D6353" w:rsidRPr="00146AE7" w:rsidRDefault="007D6353" w:rsidP="007D6353">
      <w:pPr>
        <w:pStyle w:val="example"/>
        <w:ind w:left="900" w:hanging="900"/>
        <w:rPr>
          <w:iCs/>
          <w:smallCaps/>
        </w:rPr>
      </w:pPr>
      <w:r w:rsidRPr="003B01CC">
        <w:t>(</w:t>
      </w:r>
      <w:r w:rsidRPr="003B01CC">
        <w:fldChar w:fldCharType="begin"/>
      </w:r>
      <w:bookmarkStart w:id="0" w:name="_Ref10794500"/>
      <w:bookmarkEnd w:id="0"/>
      <w:r w:rsidRPr="003B01CC">
        <w:instrText xml:space="preserve"> LISTNUM Example \l 1 </w:instrText>
      </w:r>
      <w:r w:rsidRPr="003B01CC">
        <w:fldChar w:fldCharType="end"/>
      </w:r>
      <w:r w:rsidRPr="003B01CC">
        <w:t>)</w:t>
      </w:r>
      <w:r w:rsidRPr="003B01CC">
        <w:tab/>
      </w:r>
      <w:r>
        <w:tab/>
      </w:r>
      <w:r>
        <w:rPr>
          <w:i/>
        </w:rPr>
        <w:t>Quantifier Constraint</w:t>
      </w:r>
      <w:r>
        <w:br/>
      </w:r>
      <w:r w:rsidRPr="00A12653">
        <w:t>The NP that a</w:t>
      </w:r>
      <w:r>
        <w:t xml:space="preserve"> connected </w:t>
      </w:r>
      <w:r w:rsidRPr="00A12653">
        <w:t>excepti</w:t>
      </w:r>
      <w:r>
        <w:t>ve</w:t>
      </w:r>
      <w:r w:rsidRPr="00A12653">
        <w:t xml:space="preserve"> phrase associates with must denote a universal</w:t>
      </w:r>
      <w:r>
        <w:t xml:space="preserve"> or negative universal quantifier. Free exceptive phrases are not so restricted.</w:t>
      </w:r>
    </w:p>
    <w:p w14:paraId="4B98C346" w14:textId="5B437A7C" w:rsidR="0071415E" w:rsidRDefault="0067303D" w:rsidP="0071415E">
      <w:pPr>
        <w:pStyle w:val="Heading2"/>
      </w:pPr>
      <w:r>
        <w:t>Quantificational</w:t>
      </w:r>
      <w:r w:rsidR="0071415E" w:rsidRPr="008A7EC8">
        <w:t xml:space="preserve"> associates</w:t>
      </w:r>
    </w:p>
    <w:p w14:paraId="6EE07A76" w14:textId="4688F5FF" w:rsidR="00FD0720" w:rsidRDefault="00FD0720" w:rsidP="0071415E">
      <w:r>
        <w:t xml:space="preserve">Test a variety of associate types in both free and connected </w:t>
      </w:r>
      <w:proofErr w:type="spellStart"/>
      <w:r>
        <w:t>exceptives</w:t>
      </w:r>
      <w:proofErr w:type="spellEnd"/>
      <w:r>
        <w:t>. Some semantic categories</w:t>
      </w:r>
      <w:r w:rsidR="0067303D">
        <w:t xml:space="preserve"> to consider are the following:</w:t>
      </w:r>
    </w:p>
    <w:p w14:paraId="7F908238" w14:textId="64BE8E67" w:rsidR="00FD0720" w:rsidRDefault="00FD0720" w:rsidP="00FD0720">
      <w:pPr>
        <w:pStyle w:val="example"/>
        <w:keepLines w:val="0"/>
      </w:pPr>
      <w:r w:rsidRPr="003B01CC">
        <w:lastRenderedPageBreak/>
        <w:t>(</w:t>
      </w:r>
      <w:r w:rsidRPr="003B01CC">
        <w:fldChar w:fldCharType="begin"/>
      </w:r>
      <w:bookmarkStart w:id="1" w:name="_Ref93142501"/>
      <w:bookmarkEnd w:id="1"/>
      <w:r w:rsidRPr="003B01CC">
        <w:instrText xml:space="preserve"> LISTNUM Example \l 1 </w:instrText>
      </w:r>
      <w:r w:rsidRPr="003B01CC">
        <w:fldChar w:fldCharType="end"/>
      </w:r>
      <w:r w:rsidRPr="003B01CC">
        <w:t>)</w:t>
      </w:r>
      <w:r w:rsidRPr="003B01CC">
        <w:tab/>
      </w:r>
      <w:r w:rsidRPr="003B01CC">
        <w:fldChar w:fldCharType="begin"/>
      </w:r>
      <w:r w:rsidRPr="003B01CC">
        <w:instrText xml:space="preserve"> LISTNUM Example \l 2 </w:instrText>
      </w:r>
      <w:r w:rsidRPr="003B01CC">
        <w:fldChar w:fldCharType="end"/>
      </w:r>
      <w:r w:rsidRPr="003B01CC">
        <w:t>.</w:t>
      </w:r>
      <w:r w:rsidRPr="003B01CC">
        <w:tab/>
      </w:r>
      <w:r>
        <w:rPr>
          <w:iCs/>
          <w:color w:val="000000"/>
        </w:rPr>
        <w:t xml:space="preserve">universal quantifiers: </w:t>
      </w:r>
      <w:r w:rsidRPr="00DB139B">
        <w:rPr>
          <w:i/>
          <w:color w:val="000000"/>
        </w:rPr>
        <w:t>every, all, no</w:t>
      </w:r>
      <w:r>
        <w:br/>
      </w:r>
      <w:r>
        <w:tab/>
      </w:r>
      <w:r w:rsidRPr="008E60E0">
        <w:fldChar w:fldCharType="begin"/>
      </w:r>
      <w:r w:rsidRPr="008E60E0">
        <w:instrText xml:space="preserve"> LISTNUM Example \l 2 </w:instrText>
      </w:r>
      <w:r w:rsidRPr="008E60E0">
        <w:fldChar w:fldCharType="end"/>
      </w:r>
      <w:r w:rsidRPr="008E60E0">
        <w:t>.</w:t>
      </w:r>
      <w:r>
        <w:tab/>
        <w:t xml:space="preserve">non-universal quantifiers: </w:t>
      </w:r>
      <w:r w:rsidRPr="00DB139B">
        <w:rPr>
          <w:i/>
          <w:iCs/>
        </w:rPr>
        <w:t>most</w:t>
      </w:r>
      <w:r>
        <w:rPr>
          <w:i/>
          <w:iCs/>
        </w:rPr>
        <w:t xml:space="preserve"> (of)</w:t>
      </w:r>
      <w:r w:rsidRPr="00DB139B">
        <w:rPr>
          <w:i/>
          <w:iCs/>
        </w:rPr>
        <w:t>, many</w:t>
      </w:r>
      <w:r>
        <w:rPr>
          <w:i/>
          <w:iCs/>
        </w:rPr>
        <w:t xml:space="preserve"> (of)</w:t>
      </w:r>
      <w:r w:rsidRPr="00DB139B">
        <w:rPr>
          <w:i/>
          <w:iCs/>
        </w:rPr>
        <w:t>, few</w:t>
      </w:r>
      <w:r>
        <w:rPr>
          <w:i/>
          <w:iCs/>
        </w:rPr>
        <w:t xml:space="preserve"> (of)</w:t>
      </w:r>
      <w:r>
        <w:br/>
      </w:r>
      <w:r>
        <w:tab/>
      </w:r>
      <w:r w:rsidRPr="008E60E0">
        <w:fldChar w:fldCharType="begin"/>
      </w:r>
      <w:r w:rsidRPr="008E60E0">
        <w:instrText xml:space="preserve"> LISTNUM Example \l 2 </w:instrText>
      </w:r>
      <w:r w:rsidRPr="008E60E0">
        <w:fldChar w:fldCharType="end"/>
      </w:r>
      <w:r w:rsidRPr="008E60E0">
        <w:t>.</w:t>
      </w:r>
      <w:r>
        <w:tab/>
        <w:t xml:space="preserve">mass quantifiers: </w:t>
      </w:r>
      <w:r w:rsidRPr="00DB139B">
        <w:rPr>
          <w:i/>
          <w:iCs/>
        </w:rPr>
        <w:t>much, little</w:t>
      </w:r>
      <w:r>
        <w:br/>
      </w:r>
      <w:r>
        <w:tab/>
      </w:r>
      <w:r w:rsidRPr="008E60E0">
        <w:fldChar w:fldCharType="begin"/>
      </w:r>
      <w:r w:rsidRPr="008E60E0">
        <w:instrText xml:space="preserve"> LISTNUM Example \l 2 </w:instrText>
      </w:r>
      <w:r w:rsidRPr="008E60E0">
        <w:fldChar w:fldCharType="end"/>
      </w:r>
      <w:r w:rsidRPr="008E60E0">
        <w:t>.</w:t>
      </w:r>
      <w:r>
        <w:tab/>
        <w:t>definite noun phrases</w:t>
      </w:r>
      <w:r>
        <w:br/>
      </w:r>
      <w:r w:rsidR="0067303D">
        <w:tab/>
      </w:r>
      <w:r w:rsidR="0067303D" w:rsidRPr="008E60E0">
        <w:fldChar w:fldCharType="begin"/>
      </w:r>
      <w:r w:rsidR="0067303D" w:rsidRPr="008E60E0">
        <w:instrText xml:space="preserve"> LISTNUM Example \l 2 </w:instrText>
      </w:r>
      <w:r w:rsidR="0067303D" w:rsidRPr="008E60E0">
        <w:fldChar w:fldCharType="end"/>
      </w:r>
      <w:r w:rsidR="0067303D" w:rsidRPr="008E60E0">
        <w:t>.</w:t>
      </w:r>
      <w:r w:rsidR="0067303D">
        <w:tab/>
        <w:t>indefinite noun phrases</w:t>
      </w:r>
      <w:r w:rsidR="0067303D">
        <w:br/>
      </w:r>
      <w:r>
        <w:tab/>
      </w:r>
      <w:r w:rsidRPr="008E60E0">
        <w:fldChar w:fldCharType="begin"/>
      </w:r>
      <w:r w:rsidRPr="008E60E0">
        <w:instrText xml:space="preserve"> LISTNUM Example \l 2 </w:instrText>
      </w:r>
      <w:r w:rsidRPr="008E60E0">
        <w:fldChar w:fldCharType="end"/>
      </w:r>
      <w:r w:rsidRPr="008E60E0">
        <w:t>.</w:t>
      </w:r>
      <w:r>
        <w:tab/>
        <w:t>kind referring and generic noun phrases</w:t>
      </w:r>
      <w:r>
        <w:br/>
      </w:r>
      <w:r>
        <w:tab/>
      </w:r>
      <w:r w:rsidRPr="008E60E0">
        <w:fldChar w:fldCharType="begin"/>
      </w:r>
      <w:r w:rsidRPr="008E60E0">
        <w:instrText xml:space="preserve"> LISTNUM Example \l 2 </w:instrText>
      </w:r>
      <w:r w:rsidRPr="008E60E0">
        <w:fldChar w:fldCharType="end"/>
      </w:r>
      <w:r w:rsidRPr="008E60E0">
        <w:t>.</w:t>
      </w:r>
      <w:r>
        <w:tab/>
        <w:t>superlative noun phrases</w:t>
      </w:r>
      <w:r>
        <w:br/>
      </w:r>
      <w:r>
        <w:tab/>
      </w:r>
      <w:r w:rsidRPr="008E60E0">
        <w:fldChar w:fldCharType="begin"/>
      </w:r>
      <w:r w:rsidRPr="008E60E0">
        <w:instrText xml:space="preserve"> LISTNUM Example \l 2 </w:instrText>
      </w:r>
      <w:r w:rsidRPr="008E60E0">
        <w:fldChar w:fldCharType="end"/>
      </w:r>
      <w:r w:rsidRPr="008E60E0">
        <w:t>.</w:t>
      </w:r>
      <w:r>
        <w:tab/>
        <w:t xml:space="preserve">numeral noun phrases, </w:t>
      </w:r>
      <w:proofErr w:type="gramStart"/>
      <w:r>
        <w:t>e.g.</w:t>
      </w:r>
      <w:proofErr w:type="gramEnd"/>
      <w:r>
        <w:t xml:space="preserve"> </w:t>
      </w:r>
      <w:r>
        <w:rPr>
          <w:i/>
        </w:rPr>
        <w:t>three girls, at least/at most/exactly two dogs</w:t>
      </w:r>
      <w:r>
        <w:br/>
      </w:r>
      <w:r>
        <w:tab/>
      </w:r>
      <w:r w:rsidRPr="008E60E0">
        <w:fldChar w:fldCharType="begin"/>
      </w:r>
      <w:r w:rsidRPr="008E60E0">
        <w:instrText xml:space="preserve"> LISTNUM Example \l 2 </w:instrText>
      </w:r>
      <w:r w:rsidRPr="008E60E0">
        <w:fldChar w:fldCharType="end"/>
      </w:r>
      <w:r w:rsidRPr="008E60E0">
        <w:t>.</w:t>
      </w:r>
      <w:r>
        <w:tab/>
        <w:t xml:space="preserve">universal noun phrases with a cardinality restriction: </w:t>
      </w:r>
      <w:r>
        <w:rPr>
          <w:i/>
        </w:rPr>
        <w:t>both, neither</w:t>
      </w:r>
      <w:r w:rsidR="0067303D">
        <w:rPr>
          <w:i/>
        </w:rPr>
        <w:br/>
      </w:r>
      <w:r w:rsidR="0067303D">
        <w:rPr>
          <w:i/>
        </w:rPr>
        <w:tab/>
      </w:r>
      <w:r w:rsidR="0067303D" w:rsidRPr="008E60E0">
        <w:fldChar w:fldCharType="begin"/>
      </w:r>
      <w:r w:rsidR="0067303D" w:rsidRPr="008E60E0">
        <w:instrText xml:space="preserve"> LISTNUM Example \l 2 </w:instrText>
      </w:r>
      <w:r w:rsidR="0067303D" w:rsidRPr="008E60E0">
        <w:fldChar w:fldCharType="end"/>
      </w:r>
      <w:r w:rsidR="0067303D" w:rsidRPr="008E60E0">
        <w:t>.</w:t>
      </w:r>
      <w:r w:rsidR="0067303D">
        <w:tab/>
      </w:r>
      <w:proofErr w:type="spellStart"/>
      <w:r w:rsidR="0067303D">
        <w:t>wh</w:t>
      </w:r>
      <w:proofErr w:type="spellEnd"/>
      <w:r w:rsidR="0067303D">
        <w:t>-phrases</w:t>
      </w:r>
    </w:p>
    <w:p w14:paraId="398978FC" w14:textId="64265B76" w:rsidR="0071415E" w:rsidRPr="00DF6F30" w:rsidRDefault="0071415E" w:rsidP="0071415E">
      <w:pPr>
        <w:pStyle w:val="Heading3"/>
      </w:pPr>
      <w:r>
        <w:t xml:space="preserve">Free </w:t>
      </w:r>
      <w:proofErr w:type="spellStart"/>
      <w:r>
        <w:t>exceptives</w:t>
      </w:r>
      <w:proofErr w:type="spellEnd"/>
    </w:p>
    <w:p w14:paraId="69F33024" w14:textId="53A120B9" w:rsidR="0071415E" w:rsidRDefault="0071415E" w:rsidP="0071415E">
      <w:pPr>
        <w:pStyle w:val="Heading3"/>
      </w:pPr>
      <w:r>
        <w:t xml:space="preserve">Connected </w:t>
      </w:r>
      <w:proofErr w:type="spellStart"/>
      <w:r>
        <w:t>exceptives</w:t>
      </w:r>
      <w:proofErr w:type="spellEnd"/>
    </w:p>
    <w:p w14:paraId="6A51C8F9" w14:textId="5E97F330" w:rsidR="0067303D" w:rsidRDefault="0067303D" w:rsidP="0067303D">
      <w:pPr>
        <w:pStyle w:val="Heading2"/>
      </w:pPr>
      <w:r>
        <w:t>Implicit</w:t>
      </w:r>
      <w:r w:rsidRPr="008A7EC8">
        <w:t xml:space="preserve"> associates</w:t>
      </w:r>
    </w:p>
    <w:p w14:paraId="06596683" w14:textId="474F564F" w:rsidR="0067303D" w:rsidRPr="00F95B5F" w:rsidRDefault="0067303D" w:rsidP="0067303D">
      <w:r>
        <w:t>Document the (in)ability of exceptive phrases to appear with implicit associates.</w:t>
      </w:r>
      <w:r w:rsidR="00B46781">
        <w:t xml:space="preserve"> It is worth distinguishing two kinds of implicit associates. First are those which arguably have no syntactic presence, such as an unexpressed time or place adverbial. Second are those in which there is arguably an unexpressed</w:t>
      </w:r>
      <w:r w:rsidR="00F95B5F">
        <w:t xml:space="preserve">, null </w:t>
      </w:r>
      <w:r w:rsidR="00B46781">
        <w:t>argument</w:t>
      </w:r>
      <w:r w:rsidR="00F95B5F">
        <w:t xml:space="preserve">, which may be required for argument structure reasons. The latter may be realized in the syntax by </w:t>
      </w:r>
      <w:r w:rsidR="00F95B5F">
        <w:rPr>
          <w:i/>
        </w:rPr>
        <w:t>pro</w:t>
      </w:r>
      <w:r w:rsidR="00F95B5F">
        <w:t>.</w:t>
      </w:r>
    </w:p>
    <w:p w14:paraId="4857D923" w14:textId="4B0FF4C4" w:rsidR="0071415E" w:rsidRPr="00CC498E" w:rsidRDefault="0071415E" w:rsidP="0071415E">
      <w:pPr>
        <w:pStyle w:val="Heading1"/>
        <w:rPr>
          <w:rFonts w:eastAsia="Times New Roman" w:cs="Times New Roman"/>
        </w:rPr>
      </w:pPr>
      <w:r w:rsidRPr="008A7EC8">
        <w:t>Characteristics of the exception</w:t>
      </w:r>
    </w:p>
    <w:p w14:paraId="09FC37E3" w14:textId="6D5926C1" w:rsidR="0071415E" w:rsidRDefault="0071415E" w:rsidP="0071415E">
      <w:pPr>
        <w:pStyle w:val="Heading2"/>
      </w:pPr>
      <w:r w:rsidRPr="008A7EC8">
        <w:t>Categorial options</w:t>
      </w:r>
    </w:p>
    <w:p w14:paraId="10309E98" w14:textId="33DB025C" w:rsidR="0067303D" w:rsidRDefault="0067303D" w:rsidP="0067303D">
      <w:r>
        <w:t>What are the categorial options for exceptive phrases</w:t>
      </w:r>
      <w:r w:rsidR="000A11D9">
        <w:t xml:space="preserve"> in free and connected </w:t>
      </w:r>
      <w:proofErr w:type="spellStart"/>
      <w:r w:rsidR="000A11D9">
        <w:t>exceptives</w:t>
      </w:r>
      <w:proofErr w:type="spellEnd"/>
      <w:r w:rsidR="000A11D9">
        <w:t>?</w:t>
      </w:r>
      <w:r w:rsidR="00613F74">
        <w:t xml:space="preserve"> Minimal phrase types to test are NP, PP, and CP.</w:t>
      </w:r>
    </w:p>
    <w:p w14:paraId="15D3E4E5" w14:textId="77777777" w:rsidR="0067303D" w:rsidRPr="00DF6F30" w:rsidRDefault="0067303D" w:rsidP="0067303D">
      <w:pPr>
        <w:pStyle w:val="Heading3"/>
      </w:pPr>
      <w:r>
        <w:t xml:space="preserve">Free </w:t>
      </w:r>
      <w:proofErr w:type="spellStart"/>
      <w:r>
        <w:t>exceptives</w:t>
      </w:r>
      <w:proofErr w:type="spellEnd"/>
    </w:p>
    <w:p w14:paraId="7D00ED6B" w14:textId="77777777" w:rsidR="0067303D" w:rsidRDefault="0067303D" w:rsidP="0067303D">
      <w:pPr>
        <w:pStyle w:val="Heading3"/>
      </w:pPr>
      <w:r>
        <w:t xml:space="preserve">Connected </w:t>
      </w:r>
      <w:proofErr w:type="spellStart"/>
      <w:r>
        <w:t>exceptives</w:t>
      </w:r>
      <w:proofErr w:type="spellEnd"/>
    </w:p>
    <w:p w14:paraId="21AB7830" w14:textId="1E340FF9" w:rsidR="0071415E" w:rsidRDefault="0071415E" w:rsidP="0071415E">
      <w:pPr>
        <w:pStyle w:val="Heading2"/>
      </w:pPr>
      <w:r w:rsidRPr="008A7EC8">
        <w:t>Case marking on nominal exceptions</w:t>
      </w:r>
    </w:p>
    <w:p w14:paraId="4E558744" w14:textId="3754C9F4" w:rsidR="007B0ED4" w:rsidRPr="007B0ED4" w:rsidRDefault="007B0ED4" w:rsidP="007B0ED4">
      <w:r>
        <w:t xml:space="preserve">For free and connected </w:t>
      </w:r>
      <w:proofErr w:type="spellStart"/>
      <w:r>
        <w:t>exceptives</w:t>
      </w:r>
      <w:proofErr w:type="spellEnd"/>
      <w:r>
        <w:t xml:space="preserve"> in which the exceptive is a nominal, what are the case marking options for the exception? Describe the case marking for associates in different case positions. Is there </w:t>
      </w:r>
      <w:r w:rsidR="00E35139">
        <w:t xml:space="preserve">a </w:t>
      </w:r>
      <w:r>
        <w:t>fixed case? Is there case matching? Are there multiple options?</w:t>
      </w:r>
    </w:p>
    <w:p w14:paraId="55A60A1B" w14:textId="77777777" w:rsidR="007B0ED4" w:rsidRPr="00DF6F30" w:rsidRDefault="007B0ED4" w:rsidP="007B0ED4">
      <w:pPr>
        <w:pStyle w:val="Heading3"/>
      </w:pPr>
      <w:r>
        <w:t xml:space="preserve">Free </w:t>
      </w:r>
      <w:proofErr w:type="spellStart"/>
      <w:r>
        <w:t>exceptives</w:t>
      </w:r>
      <w:proofErr w:type="spellEnd"/>
    </w:p>
    <w:p w14:paraId="5DDE83D3" w14:textId="77777777" w:rsidR="007B0ED4" w:rsidRDefault="007B0ED4" w:rsidP="007B0ED4">
      <w:pPr>
        <w:pStyle w:val="Heading3"/>
      </w:pPr>
      <w:r>
        <w:t xml:space="preserve">Connected </w:t>
      </w:r>
      <w:proofErr w:type="spellStart"/>
      <w:r>
        <w:t>exceptives</w:t>
      </w:r>
      <w:proofErr w:type="spellEnd"/>
    </w:p>
    <w:p w14:paraId="3EE7B14C" w14:textId="0629647D" w:rsidR="0071415E" w:rsidRDefault="0071415E" w:rsidP="0071415E">
      <w:pPr>
        <w:pStyle w:val="Heading2"/>
      </w:pPr>
      <w:r>
        <w:t>Other</w:t>
      </w:r>
    </w:p>
    <w:p w14:paraId="7D00C49B" w14:textId="72C75709" w:rsidR="007B0ED4" w:rsidRPr="007B0ED4" w:rsidRDefault="007B0ED4" w:rsidP="007B0ED4">
      <w:r>
        <w:t xml:space="preserve">Are there other </w:t>
      </w:r>
      <w:r w:rsidR="00D50A8D">
        <w:t>restrictions of interest on the exception?</w:t>
      </w:r>
    </w:p>
    <w:p w14:paraId="6416F167" w14:textId="6F6873A7" w:rsidR="0071415E" w:rsidRDefault="0077566D" w:rsidP="0071415E">
      <w:pPr>
        <w:pStyle w:val="Heading1"/>
      </w:pPr>
      <w:r>
        <w:lastRenderedPageBreak/>
        <w:t>Clausal</w:t>
      </w:r>
      <w:r w:rsidR="0071415E" w:rsidRPr="008A7EC8">
        <w:t xml:space="preserve"> </w:t>
      </w:r>
      <w:proofErr w:type="spellStart"/>
      <w:r w:rsidR="009A15D8">
        <w:t>ex</w:t>
      </w:r>
      <w:r w:rsidR="00D77E1C">
        <w:t>c</w:t>
      </w:r>
      <w:r w:rsidR="009A15D8">
        <w:t>eptives</w:t>
      </w:r>
      <w:proofErr w:type="spellEnd"/>
    </w:p>
    <w:p w14:paraId="5D68799A" w14:textId="6E51834D" w:rsidR="00D605B3" w:rsidRPr="00D605B3" w:rsidRDefault="00D605B3" w:rsidP="00D605B3">
      <w:r>
        <w:t xml:space="preserve">This section of the questionnaire explores the possibility of clausal </w:t>
      </w:r>
      <w:proofErr w:type="spellStart"/>
      <w:r>
        <w:t>exceptives</w:t>
      </w:r>
      <w:proofErr w:type="spellEnd"/>
      <w:r>
        <w:t xml:space="preserve"> in the language. Both free and connected </w:t>
      </w:r>
      <w:proofErr w:type="spellStart"/>
      <w:r>
        <w:t>exceptives</w:t>
      </w:r>
      <w:proofErr w:type="spellEnd"/>
      <w:r>
        <w:t xml:space="preserve"> should be tested. The specific</w:t>
      </w:r>
      <w:r w:rsidR="00687AB3">
        <w:t>s</w:t>
      </w:r>
      <w:r>
        <w:t xml:space="preserve"> </w:t>
      </w:r>
      <w:r w:rsidR="00D00F50">
        <w:t xml:space="preserve">of the </w:t>
      </w:r>
      <w:r>
        <w:t>diagnostics are discussed in more detail in another document.</w:t>
      </w:r>
    </w:p>
    <w:p w14:paraId="6C4A74B8" w14:textId="5F37C3F7" w:rsidR="0071415E" w:rsidRPr="0071415E" w:rsidRDefault="0071415E" w:rsidP="0071415E">
      <w:pPr>
        <w:pStyle w:val="Heading2"/>
        <w:rPr>
          <w:rFonts w:eastAsia="Times New Roman"/>
        </w:rPr>
      </w:pPr>
      <w:r w:rsidRPr="008A7EC8">
        <w:t>Possible expression of full clause exceptions</w:t>
      </w:r>
    </w:p>
    <w:p w14:paraId="56169EE6" w14:textId="77777777" w:rsidR="00787A9F" w:rsidRPr="0071415E" w:rsidRDefault="00787A9F" w:rsidP="00787A9F">
      <w:pPr>
        <w:pStyle w:val="Heading2"/>
        <w:rPr>
          <w:rFonts w:eastAsia="Times New Roman"/>
        </w:rPr>
      </w:pPr>
      <w:r w:rsidRPr="008A7EC8">
        <w:t>Multiple exceptions</w:t>
      </w:r>
    </w:p>
    <w:p w14:paraId="7F6CA0F0" w14:textId="314D821F" w:rsidR="0071415E" w:rsidRPr="0071415E" w:rsidRDefault="0071415E" w:rsidP="0071415E">
      <w:pPr>
        <w:pStyle w:val="Heading2"/>
        <w:rPr>
          <w:rFonts w:eastAsia="Times New Roman"/>
        </w:rPr>
      </w:pPr>
      <w:r w:rsidRPr="008A7EC8">
        <w:t>Sluicing interpretations</w:t>
      </w:r>
    </w:p>
    <w:p w14:paraId="60241BA0" w14:textId="58B86352" w:rsidR="0071415E" w:rsidRPr="0071415E" w:rsidRDefault="0071415E" w:rsidP="0071415E">
      <w:pPr>
        <w:pStyle w:val="Heading2"/>
        <w:rPr>
          <w:rFonts w:eastAsia="Times New Roman"/>
        </w:rPr>
      </w:pPr>
      <w:r w:rsidRPr="008A7EC8">
        <w:t>clausal/speaker-oriented adverb</w:t>
      </w:r>
      <w:r>
        <w:t>s</w:t>
      </w:r>
    </w:p>
    <w:p w14:paraId="5FB41AD7" w14:textId="688CA0DF" w:rsidR="00787A9F" w:rsidRPr="00787A9F" w:rsidRDefault="00787A9F" w:rsidP="00787A9F">
      <w:pPr>
        <w:pStyle w:val="Heading2"/>
      </w:pPr>
      <w:r>
        <w:t>Preposition stranding</w:t>
      </w:r>
    </w:p>
    <w:p w14:paraId="23B478D1" w14:textId="4A46F5C8" w:rsidR="00787A9F" w:rsidRDefault="00787A9F" w:rsidP="00787A9F">
      <w:pPr>
        <w:pStyle w:val="Heading2"/>
      </w:pPr>
      <w:r>
        <w:t>Internal reading with ‘same, different’</w:t>
      </w:r>
    </w:p>
    <w:p w14:paraId="5636C998" w14:textId="5EE854B4" w:rsidR="004B77E0" w:rsidRDefault="004B77E0" w:rsidP="004B77E0">
      <w:pPr>
        <w:pStyle w:val="Heading2"/>
      </w:pPr>
      <w:r>
        <w:t>Collective predicates</w:t>
      </w:r>
    </w:p>
    <w:p w14:paraId="48887669" w14:textId="3D2A227C" w:rsidR="00787A9F" w:rsidRPr="0071415E" w:rsidRDefault="00787A9F" w:rsidP="00787A9F">
      <w:pPr>
        <w:pStyle w:val="Heading2"/>
        <w:rPr>
          <w:rFonts w:eastAsia="Times New Roman"/>
        </w:rPr>
      </w:pPr>
      <w:r>
        <w:t>Binding Theory data</w:t>
      </w:r>
    </w:p>
    <w:p w14:paraId="1C08E193" w14:textId="071EE5D6" w:rsidR="00787A9F" w:rsidRPr="0071415E" w:rsidRDefault="00787A9F" w:rsidP="00787A9F">
      <w:pPr>
        <w:pStyle w:val="Heading2"/>
        <w:rPr>
          <w:rFonts w:eastAsia="Times New Roman"/>
        </w:rPr>
      </w:pPr>
      <w:r>
        <w:t>Island sensitivity</w:t>
      </w:r>
    </w:p>
    <w:p w14:paraId="1BC28811" w14:textId="77777777" w:rsidR="00787A9F" w:rsidRPr="0071415E" w:rsidRDefault="00787A9F" w:rsidP="00787A9F">
      <w:pPr>
        <w:pStyle w:val="Heading2"/>
        <w:rPr>
          <w:rFonts w:eastAsia="Times New Roman"/>
        </w:rPr>
      </w:pPr>
      <w:r>
        <w:t>Other</w:t>
      </w:r>
    </w:p>
    <w:p w14:paraId="5E796C17" w14:textId="77777777" w:rsidR="00481307" w:rsidRPr="00CC498E" w:rsidRDefault="00481307" w:rsidP="00481307">
      <w:pPr>
        <w:pStyle w:val="Heading1"/>
        <w:rPr>
          <w:rFonts w:eastAsia="Times New Roman" w:cs="Times New Roman"/>
        </w:rPr>
      </w:pPr>
      <w:r w:rsidRPr="008A7EC8">
        <w:t xml:space="preserve">Problematic </w:t>
      </w:r>
      <w:r>
        <w:t>data</w:t>
      </w:r>
    </w:p>
    <w:p w14:paraId="56328A1C" w14:textId="28ED142C" w:rsidR="00FE64E0" w:rsidRDefault="00890F07" w:rsidP="00FE64E0">
      <w:r>
        <w:t>Use this section to summarize any findings that are unexpected or mysterious, either within the context of the language or the larger cross-linguistic picture of exceptive typology.</w:t>
      </w:r>
    </w:p>
    <w:p w14:paraId="4297FD10" w14:textId="6F718FFA" w:rsidR="0071415E" w:rsidRDefault="0071415E" w:rsidP="0071415E">
      <w:pPr>
        <w:pStyle w:val="Heading1"/>
      </w:pPr>
      <w:r w:rsidRPr="008A7EC8">
        <w:t>Additional observations and comments</w:t>
      </w:r>
    </w:p>
    <w:p w14:paraId="72AD574A" w14:textId="32F92E58" w:rsidR="00890F07" w:rsidRPr="00890F07" w:rsidRDefault="00890F07" w:rsidP="00890F07">
      <w:r>
        <w:t>Use this section to provide any insight you might have on the data and/or its analysis.</w:t>
      </w:r>
    </w:p>
    <w:p w14:paraId="43FC50E2" w14:textId="23B5B818" w:rsidR="00653EC9" w:rsidRPr="00CC498E" w:rsidRDefault="00653EC9" w:rsidP="00653EC9">
      <w:pPr>
        <w:pStyle w:val="Heading1"/>
        <w:rPr>
          <w:rFonts w:eastAsia="Times New Roman" w:cs="Times New Roman"/>
        </w:rPr>
      </w:pPr>
      <w:r>
        <w:t>Consultants</w:t>
      </w:r>
    </w:p>
    <w:p w14:paraId="671623EF" w14:textId="67354D36" w:rsidR="005D788D" w:rsidRDefault="00653EC9" w:rsidP="008A7EC8">
      <w:r>
        <w:t>Give ethnographic information about consultants: number used, age and gender, language expertise</w:t>
      </w:r>
      <w:r w:rsidR="00D11960">
        <w:t xml:space="preserve"> (multilingualism)</w:t>
      </w:r>
      <w:r>
        <w:t>, education levels, where they have lived, which languages they use in which settings, etc.</w:t>
      </w:r>
    </w:p>
    <w:p w14:paraId="2C87FC7C" w14:textId="29B401CD" w:rsidR="004B7CC6" w:rsidRPr="00216803" w:rsidRDefault="004B7CC6" w:rsidP="00216803">
      <w:pPr>
        <w:pStyle w:val="example"/>
        <w:keepLines w:val="0"/>
        <w:spacing w:before="720"/>
        <w:rPr>
          <w:b/>
          <w:bCs/>
          <w:sz w:val="28"/>
          <w:szCs w:val="28"/>
        </w:rPr>
      </w:pPr>
      <w:r w:rsidRPr="004B7CC6">
        <w:rPr>
          <w:b/>
          <w:bCs/>
          <w:sz w:val="28"/>
          <w:szCs w:val="28"/>
        </w:rPr>
        <w:t>References</w:t>
      </w:r>
    </w:p>
    <w:sectPr w:rsidR="004B7CC6" w:rsidRPr="00216803" w:rsidSect="00F44AB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F7815" w14:textId="77777777" w:rsidR="003B2BF3" w:rsidRDefault="003B2BF3" w:rsidP="00E67DB3">
      <w:r>
        <w:separator/>
      </w:r>
    </w:p>
  </w:endnote>
  <w:endnote w:type="continuationSeparator" w:id="0">
    <w:p w14:paraId="61424C04" w14:textId="77777777" w:rsidR="003B2BF3" w:rsidRDefault="003B2BF3" w:rsidP="00E67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Headings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42BDA" w14:textId="77777777" w:rsidR="00E67DB3" w:rsidRDefault="00E67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11BE3" w14:textId="77777777" w:rsidR="00E67DB3" w:rsidRDefault="00E67D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446A" w14:textId="77777777" w:rsidR="00E67DB3" w:rsidRDefault="00E67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25CCE" w14:textId="77777777" w:rsidR="003B2BF3" w:rsidRDefault="003B2BF3" w:rsidP="00E67DB3">
      <w:r>
        <w:separator/>
      </w:r>
    </w:p>
  </w:footnote>
  <w:footnote w:type="continuationSeparator" w:id="0">
    <w:p w14:paraId="631FA83E" w14:textId="77777777" w:rsidR="003B2BF3" w:rsidRDefault="003B2BF3" w:rsidP="00E67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589D2" w14:textId="2DE65F4E" w:rsidR="00E67DB3" w:rsidRDefault="003B2BF3">
    <w:pPr>
      <w:pStyle w:val="Header"/>
    </w:pPr>
    <w:r>
      <w:rPr>
        <w:noProof/>
      </w:rPr>
      <w:pict w14:anchorId="79E307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685884" o:spid="_x0000_s1027" type="#_x0000_t136" alt="" style="position:absolute;margin-left:0;margin-top:0;width:494.9pt;height:164.9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5CC00" w14:textId="2BF33BED" w:rsidR="00E67DB3" w:rsidRDefault="003B2BF3">
    <w:pPr>
      <w:pStyle w:val="Header"/>
    </w:pPr>
    <w:r>
      <w:rPr>
        <w:noProof/>
      </w:rPr>
      <w:pict w14:anchorId="2D4EC0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685885" o:spid="_x0000_s1026" type="#_x0000_t136" alt="" style="position:absolute;margin-left:0;margin-top:0;width:494.9pt;height:164.9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6FF" w14:textId="081521FC" w:rsidR="00E67DB3" w:rsidRDefault="003B2BF3">
    <w:pPr>
      <w:pStyle w:val="Header"/>
    </w:pPr>
    <w:r>
      <w:rPr>
        <w:noProof/>
      </w:rPr>
      <w:pict w14:anchorId="2DC572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685883" o:spid="_x0000_s1025" type="#_x0000_t136" alt=""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C072B"/>
    <w:multiLevelType w:val="multilevel"/>
    <w:tmpl w:val="4F3AC2D8"/>
    <w:name w:val="Example"/>
    <w:lvl w:ilvl="0">
      <w:start w:val="1"/>
      <w:numFmt w:val="decimal"/>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15FA50EE"/>
    <w:multiLevelType w:val="multilevel"/>
    <w:tmpl w:val="C4C8B7E4"/>
    <w:lvl w:ilvl="0">
      <w:start w:val="1"/>
      <w:numFmt w:val="decimal"/>
      <w:pStyle w:val="Heading1"/>
      <w:lvlText w:val="%1"/>
      <w:lvlJc w:val="left"/>
      <w:pPr>
        <w:ind w:left="720" w:hanging="72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6C373AF7"/>
    <w:multiLevelType w:val="multilevel"/>
    <w:tmpl w:val="C4C8B7E4"/>
    <w:lvl w:ilvl="0">
      <w:start w:val="1"/>
      <w:numFmt w:val="decimal"/>
      <w:lvlText w:val="%1"/>
      <w:lvlJc w:val="left"/>
      <w:pPr>
        <w:ind w:left="720" w:hanging="72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718357215">
    <w:abstractNumId w:val="1"/>
  </w:num>
  <w:num w:numId="2" w16cid:durableId="1960722545">
    <w:abstractNumId w:val="0"/>
  </w:num>
  <w:num w:numId="3" w16cid:durableId="107356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EC8"/>
    <w:rsid w:val="00020446"/>
    <w:rsid w:val="00035C9C"/>
    <w:rsid w:val="000A11D9"/>
    <w:rsid w:val="001001CC"/>
    <w:rsid w:val="0015044D"/>
    <w:rsid w:val="00216803"/>
    <w:rsid w:val="0022204A"/>
    <w:rsid w:val="00225043"/>
    <w:rsid w:val="00261F9C"/>
    <w:rsid w:val="00276E41"/>
    <w:rsid w:val="00350CC3"/>
    <w:rsid w:val="003842DD"/>
    <w:rsid w:val="0039137F"/>
    <w:rsid w:val="003B2BF3"/>
    <w:rsid w:val="00481307"/>
    <w:rsid w:val="004A3C09"/>
    <w:rsid w:val="004B77E0"/>
    <w:rsid w:val="004B7CC6"/>
    <w:rsid w:val="005D1E11"/>
    <w:rsid w:val="005D788D"/>
    <w:rsid w:val="00613815"/>
    <w:rsid w:val="00613F74"/>
    <w:rsid w:val="00622FA4"/>
    <w:rsid w:val="00625E34"/>
    <w:rsid w:val="006515C6"/>
    <w:rsid w:val="00653EC9"/>
    <w:rsid w:val="00664FD0"/>
    <w:rsid w:val="0067303D"/>
    <w:rsid w:val="00687AB3"/>
    <w:rsid w:val="006E418B"/>
    <w:rsid w:val="0071415E"/>
    <w:rsid w:val="00733E91"/>
    <w:rsid w:val="007478EE"/>
    <w:rsid w:val="00761C2E"/>
    <w:rsid w:val="0076430C"/>
    <w:rsid w:val="007657B3"/>
    <w:rsid w:val="0077566D"/>
    <w:rsid w:val="00787A9F"/>
    <w:rsid w:val="00795474"/>
    <w:rsid w:val="007B0ED4"/>
    <w:rsid w:val="007D6353"/>
    <w:rsid w:val="00846B94"/>
    <w:rsid w:val="00890F07"/>
    <w:rsid w:val="00896944"/>
    <w:rsid w:val="008A7EC8"/>
    <w:rsid w:val="009A0B92"/>
    <w:rsid w:val="009A15D8"/>
    <w:rsid w:val="009A5B21"/>
    <w:rsid w:val="009C5F7A"/>
    <w:rsid w:val="009F4672"/>
    <w:rsid w:val="00B23D6E"/>
    <w:rsid w:val="00B26B6B"/>
    <w:rsid w:val="00B40A57"/>
    <w:rsid w:val="00B46781"/>
    <w:rsid w:val="00B56D0B"/>
    <w:rsid w:val="00C065B7"/>
    <w:rsid w:val="00C27EBE"/>
    <w:rsid w:val="00C31506"/>
    <w:rsid w:val="00CA0F00"/>
    <w:rsid w:val="00D00DA7"/>
    <w:rsid w:val="00D00F50"/>
    <w:rsid w:val="00D11960"/>
    <w:rsid w:val="00D11FF5"/>
    <w:rsid w:val="00D374B3"/>
    <w:rsid w:val="00D50A8D"/>
    <w:rsid w:val="00D605B3"/>
    <w:rsid w:val="00D77E1C"/>
    <w:rsid w:val="00DF6F30"/>
    <w:rsid w:val="00E05B6F"/>
    <w:rsid w:val="00E0781F"/>
    <w:rsid w:val="00E3330C"/>
    <w:rsid w:val="00E35139"/>
    <w:rsid w:val="00E52500"/>
    <w:rsid w:val="00E67DB3"/>
    <w:rsid w:val="00E72B7D"/>
    <w:rsid w:val="00E95288"/>
    <w:rsid w:val="00EC0354"/>
    <w:rsid w:val="00EC0977"/>
    <w:rsid w:val="00F44ABF"/>
    <w:rsid w:val="00F55DE3"/>
    <w:rsid w:val="00F67412"/>
    <w:rsid w:val="00F95B5F"/>
    <w:rsid w:val="00F960F5"/>
    <w:rsid w:val="00FD0720"/>
    <w:rsid w:val="00FE64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AFE8D"/>
  <w15:chartTrackingRefBased/>
  <w15:docId w15:val="{6FB42C19-94B4-CF4E-B7B6-022E590C3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3C09"/>
    <w:pPr>
      <w:keepNext/>
      <w:keepLines/>
      <w:numPr>
        <w:numId w:val="1"/>
      </w:numPr>
      <w:spacing w:before="360" w:after="240"/>
      <w:ind w:left="576" w:hanging="576"/>
      <w:jc w:val="both"/>
      <w:outlineLvl w:val="0"/>
    </w:pPr>
    <w:rPr>
      <w:rFonts w:eastAsiaTheme="majorEastAsia" w:cstheme="majorBidi"/>
      <w:b/>
      <w:sz w:val="28"/>
      <w:szCs w:val="32"/>
    </w:rPr>
  </w:style>
  <w:style w:type="paragraph" w:styleId="Heading2">
    <w:name w:val="heading 2"/>
    <w:basedOn w:val="Heading1"/>
    <w:next w:val="Normal"/>
    <w:link w:val="Heading2Char"/>
    <w:uiPriority w:val="9"/>
    <w:unhideWhenUsed/>
    <w:qFormat/>
    <w:rsid w:val="00687AB3"/>
    <w:pPr>
      <w:keepNext w:val="0"/>
      <w:numPr>
        <w:ilvl w:val="1"/>
      </w:numPr>
      <w:spacing w:before="240"/>
      <w:outlineLvl w:val="1"/>
    </w:pPr>
    <w:rPr>
      <w:color w:val="000000" w:themeColor="text1"/>
      <w:sz w:val="24"/>
      <w:szCs w:val="26"/>
    </w:rPr>
  </w:style>
  <w:style w:type="paragraph" w:styleId="Heading3">
    <w:name w:val="heading 3"/>
    <w:basedOn w:val="Normal"/>
    <w:next w:val="Normal"/>
    <w:link w:val="Heading3Char"/>
    <w:uiPriority w:val="9"/>
    <w:unhideWhenUsed/>
    <w:qFormat/>
    <w:rsid w:val="00DF6F30"/>
    <w:pPr>
      <w:keepNext/>
      <w:keepLines/>
      <w:numPr>
        <w:ilvl w:val="2"/>
        <w:numId w:val="1"/>
      </w:numPr>
      <w:spacing w:before="240" w:after="120"/>
      <w:jc w:val="both"/>
      <w:outlineLvl w:val="2"/>
    </w:pPr>
    <w:rPr>
      <w:rFonts w:eastAsia="Times New Roman" w:cs="Times New Roman (Headings CS)"/>
      <w:b/>
      <w:iCs/>
      <w:color w:val="000000" w:themeColor="text1"/>
    </w:rPr>
  </w:style>
  <w:style w:type="paragraph" w:styleId="Heading4">
    <w:name w:val="heading 4"/>
    <w:basedOn w:val="Normal"/>
    <w:next w:val="Normal"/>
    <w:link w:val="Heading4Char"/>
    <w:uiPriority w:val="9"/>
    <w:semiHidden/>
    <w:unhideWhenUsed/>
    <w:qFormat/>
    <w:rsid w:val="00DF6F30"/>
    <w:pPr>
      <w:keepNext/>
      <w:keepLines/>
      <w:numPr>
        <w:ilvl w:val="3"/>
        <w:numId w:val="1"/>
      </w:numPr>
      <w:spacing w:before="40"/>
      <w:jc w:val="both"/>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F6F30"/>
    <w:pPr>
      <w:keepNext/>
      <w:keepLines/>
      <w:numPr>
        <w:ilvl w:val="4"/>
        <w:numId w:val="1"/>
      </w:numPr>
      <w:tabs>
        <w:tab w:val="num" w:pos="360"/>
      </w:tabs>
      <w:spacing w:before="40"/>
      <w:ind w:left="0" w:firstLine="0"/>
      <w:jc w:val="both"/>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F6F30"/>
    <w:pPr>
      <w:keepNext/>
      <w:keepLines/>
      <w:numPr>
        <w:ilvl w:val="5"/>
        <w:numId w:val="1"/>
      </w:numPr>
      <w:tabs>
        <w:tab w:val="num" w:pos="360"/>
      </w:tabs>
      <w:spacing w:before="40"/>
      <w:ind w:left="0" w:firstLine="0"/>
      <w:jc w:val="both"/>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F6F30"/>
    <w:pPr>
      <w:keepNext/>
      <w:keepLines/>
      <w:numPr>
        <w:ilvl w:val="6"/>
        <w:numId w:val="1"/>
      </w:numPr>
      <w:tabs>
        <w:tab w:val="num" w:pos="360"/>
      </w:tabs>
      <w:spacing w:before="40"/>
      <w:ind w:left="0" w:firstLine="0"/>
      <w:jc w:val="both"/>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F6F30"/>
    <w:pPr>
      <w:keepNext/>
      <w:keepLines/>
      <w:numPr>
        <w:ilvl w:val="7"/>
        <w:numId w:val="1"/>
      </w:numPr>
      <w:tabs>
        <w:tab w:val="num" w:pos="360"/>
      </w:tabs>
      <w:spacing w:before="40"/>
      <w:ind w:left="0" w:firstLine="0"/>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F6F30"/>
    <w:pPr>
      <w:keepNext/>
      <w:keepLines/>
      <w:numPr>
        <w:ilvl w:val="8"/>
        <w:numId w:val="1"/>
      </w:numPr>
      <w:tabs>
        <w:tab w:val="num" w:pos="360"/>
      </w:tabs>
      <w:spacing w:before="40"/>
      <w:ind w:left="0" w:firstLine="0"/>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C09"/>
    <w:rPr>
      <w:rFonts w:eastAsiaTheme="majorEastAsia" w:cstheme="majorBidi"/>
      <w:b/>
      <w:sz w:val="28"/>
      <w:szCs w:val="32"/>
    </w:rPr>
  </w:style>
  <w:style w:type="character" w:customStyle="1" w:styleId="Heading2Char">
    <w:name w:val="Heading 2 Char"/>
    <w:basedOn w:val="DefaultParagraphFont"/>
    <w:link w:val="Heading2"/>
    <w:uiPriority w:val="9"/>
    <w:rsid w:val="00687AB3"/>
    <w:rPr>
      <w:rFonts w:eastAsiaTheme="majorEastAsia" w:cstheme="majorBidi"/>
      <w:b/>
      <w:color w:val="000000" w:themeColor="text1"/>
      <w:szCs w:val="26"/>
    </w:rPr>
  </w:style>
  <w:style w:type="character" w:customStyle="1" w:styleId="Heading3Char">
    <w:name w:val="Heading 3 Char"/>
    <w:basedOn w:val="DefaultParagraphFont"/>
    <w:link w:val="Heading3"/>
    <w:uiPriority w:val="9"/>
    <w:rsid w:val="00DF6F30"/>
    <w:rPr>
      <w:rFonts w:eastAsia="Times New Roman" w:cs="Times New Roman (Headings CS)"/>
      <w:b/>
      <w:iCs/>
      <w:color w:val="000000" w:themeColor="text1"/>
    </w:rPr>
  </w:style>
  <w:style w:type="character" w:customStyle="1" w:styleId="Heading4Char">
    <w:name w:val="Heading 4 Char"/>
    <w:basedOn w:val="DefaultParagraphFont"/>
    <w:link w:val="Heading4"/>
    <w:uiPriority w:val="9"/>
    <w:semiHidden/>
    <w:rsid w:val="00DF6F3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F6F3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F6F3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F6F3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F6F3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F6F30"/>
    <w:rPr>
      <w:rFonts w:asciiTheme="majorHAnsi" w:eastAsiaTheme="majorEastAsia" w:hAnsiTheme="majorHAnsi" w:cstheme="majorBidi"/>
      <w:i/>
      <w:iCs/>
      <w:color w:val="272727" w:themeColor="text1" w:themeTint="D8"/>
      <w:sz w:val="21"/>
      <w:szCs w:val="21"/>
    </w:rPr>
  </w:style>
  <w:style w:type="paragraph" w:customStyle="1" w:styleId="example">
    <w:name w:val="example"/>
    <w:basedOn w:val="Normal"/>
    <w:next w:val="Normal"/>
    <w:rsid w:val="007D6353"/>
    <w:pPr>
      <w:keepLines/>
      <w:widowControl w:val="0"/>
      <w:tabs>
        <w:tab w:val="left" w:pos="54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 w:val="left" w:pos="7200"/>
        <w:tab w:val="left" w:pos="7380"/>
        <w:tab w:val="left" w:pos="7560"/>
        <w:tab w:val="left" w:pos="7747"/>
        <w:tab w:val="left" w:pos="7920"/>
        <w:tab w:val="left" w:pos="8107"/>
        <w:tab w:val="left" w:pos="8280"/>
        <w:tab w:val="left" w:pos="8467"/>
        <w:tab w:val="left" w:pos="8640"/>
        <w:tab w:val="right" w:pos="9360"/>
      </w:tabs>
      <w:spacing w:before="240" w:after="240"/>
    </w:pPr>
    <w:rPr>
      <w:rFonts w:eastAsia="Times"/>
      <w:szCs w:val="20"/>
    </w:rPr>
  </w:style>
  <w:style w:type="paragraph" w:styleId="Header">
    <w:name w:val="header"/>
    <w:basedOn w:val="Normal"/>
    <w:link w:val="HeaderChar"/>
    <w:uiPriority w:val="99"/>
    <w:unhideWhenUsed/>
    <w:rsid w:val="00E67DB3"/>
    <w:pPr>
      <w:tabs>
        <w:tab w:val="center" w:pos="4680"/>
        <w:tab w:val="right" w:pos="9360"/>
      </w:tabs>
    </w:pPr>
  </w:style>
  <w:style w:type="character" w:customStyle="1" w:styleId="HeaderChar">
    <w:name w:val="Header Char"/>
    <w:basedOn w:val="DefaultParagraphFont"/>
    <w:link w:val="Header"/>
    <w:uiPriority w:val="99"/>
    <w:rsid w:val="00E67DB3"/>
  </w:style>
  <w:style w:type="paragraph" w:styleId="Footer">
    <w:name w:val="footer"/>
    <w:basedOn w:val="Normal"/>
    <w:link w:val="FooterChar"/>
    <w:uiPriority w:val="99"/>
    <w:unhideWhenUsed/>
    <w:rsid w:val="00E67DB3"/>
    <w:pPr>
      <w:tabs>
        <w:tab w:val="center" w:pos="4680"/>
        <w:tab w:val="right" w:pos="9360"/>
      </w:tabs>
    </w:pPr>
  </w:style>
  <w:style w:type="character" w:customStyle="1" w:styleId="FooterChar">
    <w:name w:val="Footer Char"/>
    <w:basedOn w:val="DefaultParagraphFont"/>
    <w:link w:val="Footer"/>
    <w:uiPriority w:val="99"/>
    <w:rsid w:val="00E67DB3"/>
  </w:style>
  <w:style w:type="paragraph" w:styleId="NormalWeb">
    <w:name w:val="Normal (Web)"/>
    <w:basedOn w:val="Normal"/>
    <w:uiPriority w:val="99"/>
    <w:semiHidden/>
    <w:unhideWhenUsed/>
    <w:rsid w:val="00D77E1C"/>
    <w:pPr>
      <w:spacing w:before="100" w:beforeAutospacing="1" w:after="100" w:afterAutospacing="1"/>
    </w:pPr>
    <w:rPr>
      <w:rFonts w:eastAsiaTheme="minorEastAsia"/>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161415">
      <w:bodyDiv w:val="1"/>
      <w:marLeft w:val="0"/>
      <w:marRight w:val="0"/>
      <w:marTop w:val="0"/>
      <w:marBottom w:val="0"/>
      <w:divBdr>
        <w:top w:val="none" w:sz="0" w:space="0" w:color="auto"/>
        <w:left w:val="none" w:sz="0" w:space="0" w:color="auto"/>
        <w:bottom w:val="none" w:sz="0" w:space="0" w:color="auto"/>
        <w:right w:val="none" w:sz="0" w:space="0" w:color="auto"/>
      </w:divBdr>
    </w:div>
    <w:div w:id="11899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4</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Potsdam</dc:creator>
  <cp:keywords/>
  <dc:description/>
  <cp:lastModifiedBy>Eric Potsdam</cp:lastModifiedBy>
  <cp:revision>63</cp:revision>
  <dcterms:created xsi:type="dcterms:W3CDTF">2022-01-24T23:19:00Z</dcterms:created>
  <dcterms:modified xsi:type="dcterms:W3CDTF">2022-12-04T19:26:00Z</dcterms:modified>
</cp:coreProperties>
</file>